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Rule="auto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The Rosicrucian Fellowship, London Centre</w:t>
      </w:r>
    </w:p>
    <w:tbl>
      <w:tblPr>
        <w:tblStyle w:val="Table1"/>
        <w:tblW w:w="8865.0" w:type="dxa"/>
        <w:jc w:val="left"/>
        <w:tblLayout w:type="fixed"/>
        <w:tblLook w:val="0600"/>
      </w:tblPr>
      <w:tblGrid>
        <w:gridCol w:w="2085"/>
        <w:gridCol w:w="1995"/>
        <w:gridCol w:w="2055"/>
        <w:gridCol w:w="2730"/>
        <w:tblGridChange w:id="0">
          <w:tblGrid>
            <w:gridCol w:w="2085"/>
            <w:gridCol w:w="1995"/>
            <w:gridCol w:w="2055"/>
            <w:gridCol w:w="2730"/>
          </w:tblGrid>
        </w:tblGridChange>
      </w:tblGrid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after="16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Month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after="16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u w:val="single"/>
                <w:rtl w:val="0"/>
              </w:rPr>
              <w:t xml:space="preserve">Time-GMT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after="160" w:lineRule="auto"/>
              <w:jc w:val="center"/>
              <w:rPr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b w:val="1"/>
                <w:sz w:val="18"/>
                <w:szCs w:val="18"/>
                <w:u w:val="single"/>
                <w:rtl w:val="0"/>
              </w:rPr>
              <w:t xml:space="preserve">Topic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January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Philosophy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February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Bible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March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Astrology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April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21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Philosophy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19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Bible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ffff0b" w:val="clear"/>
                <w:rtl w:val="0"/>
              </w:rPr>
              <w:t xml:space="preserve">16</w:t>
            </w:r>
            <w:r w:rsidDel="00000000" w:rsidR="00000000" w:rsidRPr="00000000">
              <w:rPr>
                <w:sz w:val="12"/>
                <w:szCs w:val="12"/>
                <w:shd w:fill="ffff0b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Astrology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July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21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st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Philosophy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August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18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Bible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September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shd w:fill="ffff0b" w:val="clear"/>
                <w:rtl w:val="0"/>
              </w:rPr>
              <w:t xml:space="preserve">15</w:t>
            </w:r>
            <w:r w:rsidDel="00000000" w:rsidR="00000000" w:rsidRPr="00000000">
              <w:rPr>
                <w:sz w:val="12"/>
                <w:szCs w:val="12"/>
                <w:shd w:fill="ffff0b" w:val="clear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Astrology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October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20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Philosophy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November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60" w:lineRule="auto"/>
              <w:jc w:val="center"/>
              <w:rPr>
                <w:sz w:val="12"/>
                <w:szCs w:val="12"/>
                <w:vertAlign w:val="superscript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17</w:t>
            </w:r>
            <w:r w:rsidDel="00000000" w:rsidR="00000000" w:rsidRPr="00000000">
              <w:rPr>
                <w:sz w:val="12"/>
                <w:szCs w:val="12"/>
                <w:vertAlign w:val="superscript"/>
                <w:rtl w:val="0"/>
              </w:rPr>
              <w:t xml:space="preserve">th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Bible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December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18"/>
                <w:szCs w:val="18"/>
                <w:shd w:fill="ffff0b" w:val="clear"/>
                <w:rtl w:val="0"/>
              </w:rPr>
              <w:t xml:space="preserve">22</w:t>
            </w:r>
            <w:r w:rsidDel="00000000" w:rsidR="00000000" w:rsidRPr="00000000">
              <w:rPr>
                <w:sz w:val="12"/>
                <w:szCs w:val="12"/>
                <w:shd w:fill="ffff0b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160" w:lineRule="auto"/>
              <w:jc w:val="center"/>
              <w:rPr>
                <w:b w:val="1"/>
                <w:color w:val="fb0007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fb0007"/>
                <w:sz w:val="18"/>
                <w:szCs w:val="18"/>
                <w:rtl w:val="0"/>
              </w:rPr>
              <w:t xml:space="preserve">1000-1200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6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Astrology</w:t>
            </w:r>
          </w:p>
        </w:tc>
      </w:tr>
    </w:tbl>
    <w:p w:rsidR="00000000" w:rsidDel="00000000" w:rsidP="00000000" w:rsidRDefault="00000000" w:rsidRPr="00000000" w14:paraId="00000036">
      <w:pPr>
        <w:spacing w:after="16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160" w:lineRule="auto"/>
        <w:jc w:val="center"/>
        <w:rPr>
          <w:b w:val="1"/>
          <w:sz w:val="18"/>
          <w:szCs w:val="18"/>
          <w:u w:val="single"/>
        </w:rPr>
      </w:pP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Monthly General Meeting (Rota) January 21</w:t>
      </w:r>
      <w:r w:rsidDel="00000000" w:rsidR="00000000" w:rsidRPr="00000000">
        <w:rPr>
          <w:b w:val="1"/>
          <w:sz w:val="12"/>
          <w:szCs w:val="12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 2024– December 15</w:t>
      </w:r>
      <w:r w:rsidDel="00000000" w:rsidR="00000000" w:rsidRPr="00000000">
        <w:rPr>
          <w:b w:val="1"/>
          <w:sz w:val="12"/>
          <w:szCs w:val="12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18"/>
          <w:szCs w:val="18"/>
          <w:u w:val="single"/>
          <w:rtl w:val="0"/>
        </w:rPr>
        <w:t xml:space="preserve"> 2024-Final. Amended</w:t>
      </w:r>
    </w:p>
    <w:p w:rsidR="00000000" w:rsidDel="00000000" w:rsidP="00000000" w:rsidRDefault="00000000" w:rsidRPr="00000000" w14:paraId="00000038">
      <w:pPr>
        <w:spacing w:after="160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Centre</w:t>
      </w:r>
      <w:r w:rsidDel="00000000" w:rsidR="00000000" w:rsidRPr="00000000">
        <w:rPr>
          <w:b w:val="1"/>
          <w:sz w:val="18"/>
          <w:szCs w:val="18"/>
          <w:rtl w:val="0"/>
        </w:rPr>
        <w:t xml:space="preserve"> Address: Bernays Memorial Hall, The 25 Broadway, STANMORE, Middlesex. HA7 4DA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